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3150E" w:rsidRDefault="00EA4FA8" w:rsidP="005C7696">
      <w:pPr>
        <w:contextualSpacing w:val="0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Приложение 1. </w:t>
      </w:r>
    </w:p>
    <w:p w:rsidR="0043150E" w:rsidRDefault="00EA4FA8">
      <w:pPr>
        <w:contextualSpacing w:val="0"/>
        <w:jc w:val="center"/>
      </w:pPr>
      <w:r>
        <w:rPr>
          <w:rFonts w:ascii="Times New Roman" w:eastAsia="Times New Roman" w:hAnsi="Times New Roman" w:cs="Times New Roman"/>
          <w:b/>
        </w:rPr>
        <w:t>SLA на техническую поддержку</w:t>
      </w:r>
    </w:p>
    <w:p w:rsidR="0043150E" w:rsidRDefault="0043150E">
      <w:pPr>
        <w:contextualSpacing w:val="0"/>
      </w:pP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  <w:b/>
        </w:rPr>
        <w:t>Определения и сокращения</w:t>
      </w:r>
    </w:p>
    <w:p w:rsidR="0043150E" w:rsidRDefault="0043150E">
      <w:pPr>
        <w:contextualSpacing w:val="0"/>
      </w:pPr>
    </w:p>
    <w:tbl>
      <w:tblPr>
        <w:tblW w:w="9551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7885"/>
      </w:tblGrid>
      <w:tr w:rsidR="0043150E">
        <w:tc>
          <w:tcPr>
            <w:tcW w:w="166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Термин</w:t>
            </w:r>
          </w:p>
        </w:tc>
        <w:tc>
          <w:tcPr>
            <w:tcW w:w="7885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Определение</w:t>
            </w:r>
          </w:p>
        </w:tc>
      </w:tr>
      <w:tr w:rsidR="0043150E"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Ресурсы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B17884">
            <w:pPr>
              <w:contextualSpacing w:val="0"/>
            </w:pPr>
            <w:hyperlink r:id="rId5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http://www.tgc1.ru</w:t>
              </w:r>
            </w:hyperlink>
            <w:hyperlink r:id="rId6"/>
          </w:p>
          <w:p w:rsidR="0043150E" w:rsidRDefault="00B17884">
            <w:pPr>
              <w:contextualSpacing w:val="0"/>
            </w:pPr>
            <w:hyperlink r:id="rId7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http://www.myenergy.ru</w:t>
              </w:r>
            </w:hyperlink>
            <w:hyperlink r:id="rId8"/>
          </w:p>
          <w:p w:rsidR="0043150E" w:rsidRDefault="00B17884">
            <w:pPr>
              <w:contextualSpacing w:val="0"/>
            </w:pPr>
            <w:hyperlink r:id="rId9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http://kids.myenergy.ru</w:t>
              </w:r>
            </w:hyperlink>
            <w:hyperlink r:id="rId10"/>
          </w:p>
          <w:p w:rsidR="0043150E" w:rsidRDefault="00B17884">
            <w:pPr>
              <w:contextualSpacing w:val="0"/>
            </w:pPr>
            <w:hyperlink r:id="rId11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http://game.myenergy.ru</w:t>
              </w:r>
            </w:hyperlink>
            <w:hyperlink r:id="rId12"/>
          </w:p>
          <w:p w:rsidR="0043150E" w:rsidRDefault="00B17884">
            <w:pPr>
              <w:contextualSpacing w:val="0"/>
            </w:pPr>
            <w:hyperlink r:id="rId13">
              <w:r w:rsidR="00EA4FA8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http://www.Energomuseum.ru</w:t>
              </w:r>
            </w:hyperlink>
            <w:hyperlink r:id="rId14"/>
          </w:p>
        </w:tc>
      </w:tr>
      <w:tr w:rsidR="0043150E"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Контент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Информационное наполнение Ресурсов ОАО «ТГК-1»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Сервер 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Физический или виртуальный программно-аппаратный комплекс, на котором работает программное обеспечение ресурсов заказчика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АПК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Аппаратно-программный комплекс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Программное обеспечение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DNS</w:t>
            </w:r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Компьютерная распределённая система для получения информации о доменах. 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Таргетинг</w:t>
            </w:r>
            <w:proofErr w:type="spellEnd"/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Механизм, позволяющий выделить из всей имеющейся аудитории только ту часть, которая удовлетворяет заданным критериям.</w:t>
            </w:r>
          </w:p>
        </w:tc>
      </w:tr>
      <w:tr w:rsidR="0043150E">
        <w:trPr>
          <w:trHeight w:val="200"/>
        </w:trPr>
        <w:tc>
          <w:tcPr>
            <w:tcW w:w="166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Трендинг</w:t>
            </w:r>
            <w:proofErr w:type="spellEnd"/>
          </w:p>
        </w:tc>
        <w:tc>
          <w:tcPr>
            <w:tcW w:w="7885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Механизм, позволяющий выявить динамику изменения заданных параметров.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Общие положения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Стороны:</w:t>
      </w:r>
    </w:p>
    <w:p w:rsidR="0043150E" w:rsidRDefault="00EA4FA8">
      <w:pPr>
        <w:numPr>
          <w:ilvl w:val="0"/>
          <w:numId w:val="1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заказчик — ОАО «ТГК-1»;</w:t>
      </w:r>
    </w:p>
    <w:p w:rsidR="0043150E" w:rsidRDefault="00EA4FA8">
      <w:pPr>
        <w:numPr>
          <w:ilvl w:val="0"/>
          <w:numId w:val="1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исполнитель — подрядная организация.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Регламентирующие документы:</w:t>
      </w:r>
    </w:p>
    <w:p w:rsidR="0043150E" w:rsidRDefault="00EA4FA8">
      <w:pPr>
        <w:numPr>
          <w:ilvl w:val="0"/>
          <w:numId w:val="5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Договор на техническую поддержку и сопровождение ресурсов ОАО «ТГК-1», заключенный с подрядной организацией;</w:t>
      </w:r>
    </w:p>
    <w:p w:rsidR="0043150E" w:rsidRDefault="00EA4FA8">
      <w:pPr>
        <w:numPr>
          <w:ilvl w:val="0"/>
          <w:numId w:val="5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Регламент аварийного и штатного обслуживания;</w:t>
      </w:r>
    </w:p>
    <w:p w:rsidR="0043150E" w:rsidRDefault="00EA4FA8">
      <w:pPr>
        <w:numPr>
          <w:ilvl w:val="0"/>
          <w:numId w:val="5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Регламент резервного копирования и восстановления. </w:t>
      </w:r>
    </w:p>
    <w:p w:rsidR="0043150E" w:rsidRDefault="0043150E">
      <w:pPr>
        <w:ind w:left="360"/>
        <w:contextualSpacing w:val="0"/>
      </w:pPr>
    </w:p>
    <w:p w:rsidR="0043150E" w:rsidRDefault="00EA4FA8">
      <w:pPr>
        <w:ind w:firstLine="386"/>
        <w:contextualSpacing w:val="0"/>
      </w:pPr>
      <w:r>
        <w:rPr>
          <w:rFonts w:ascii="Times New Roman" w:eastAsia="Times New Roman" w:hAnsi="Times New Roman" w:cs="Times New Roman"/>
        </w:rPr>
        <w:t>2.3 Порядок внесения изменений в SLA.</w:t>
      </w:r>
    </w:p>
    <w:p w:rsidR="0043150E" w:rsidRDefault="0043150E">
      <w:pPr>
        <w:ind w:firstLine="386"/>
        <w:contextualSpacing w:val="0"/>
      </w:pPr>
    </w:p>
    <w:p w:rsidR="0043150E" w:rsidRDefault="00EA4FA8">
      <w:pPr>
        <w:ind w:firstLine="386"/>
        <w:contextualSpacing w:val="0"/>
      </w:pPr>
      <w:r>
        <w:rPr>
          <w:rFonts w:ascii="Times New Roman" w:eastAsia="Times New Roman" w:hAnsi="Times New Roman" w:cs="Times New Roman"/>
        </w:rPr>
        <w:t xml:space="preserve">Во время действия настоящего документа изменения в условия SLA могут быть внесены исключительно по обоюдному согласию Сторон. </w:t>
      </w:r>
    </w:p>
    <w:p w:rsidR="0043150E" w:rsidRDefault="0043150E">
      <w:pPr>
        <w:contextualSpacing w:val="0"/>
      </w:pP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  <w:b/>
        </w:rPr>
        <w:t xml:space="preserve">Предоставляемые услуги, их функциональность и ограничения 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Время предоставления услуг.</w:t>
      </w:r>
      <w:r>
        <w:rPr>
          <w:rFonts w:ascii="Times New Roman" w:eastAsia="Times New Roman" w:hAnsi="Times New Roman" w:cs="Times New Roman"/>
        </w:rPr>
        <w:br/>
        <w:t>Услуги предоставляются по рабочим дням с 08:30 до18:00.</w:t>
      </w:r>
      <w:r>
        <w:rPr>
          <w:rFonts w:ascii="Times New Roman" w:eastAsia="Times New Roman" w:hAnsi="Times New Roman" w:cs="Times New Roman"/>
        </w:rPr>
        <w:br/>
        <w:t xml:space="preserve">При аварийных ситуациях в выходные и праздничные дни услуга доступна с 11:00-19:00 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  <w:shd w:val="clear" w:color="auto" w:fill="FFD320"/>
        </w:rPr>
      </w:pPr>
      <w:r>
        <w:rPr>
          <w:rFonts w:ascii="Times New Roman" w:eastAsia="Times New Roman" w:hAnsi="Times New Roman" w:cs="Times New Roman"/>
        </w:rPr>
        <w:t>Введение классификаций.</w:t>
      </w:r>
      <w:r>
        <w:rPr>
          <w:rFonts w:ascii="Times New Roman" w:eastAsia="Times New Roman" w:hAnsi="Times New Roman" w:cs="Times New Roman"/>
          <w:shd w:val="clear" w:color="auto" w:fill="FFD320"/>
        </w:rPr>
        <w:t xml:space="preserve"> </w:t>
      </w: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Группы пользователей </w:t>
      </w:r>
    </w:p>
    <w:tbl>
      <w:tblPr>
        <w:tblW w:w="94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6796"/>
      </w:tblGrid>
      <w:tr w:rsidR="0043150E">
        <w:trPr>
          <w:trHeight w:val="20"/>
        </w:trPr>
        <w:tc>
          <w:tcPr>
            <w:tcW w:w="2694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Группа пользователей</w:t>
            </w:r>
          </w:p>
        </w:tc>
        <w:tc>
          <w:tcPr>
            <w:tcW w:w="679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Внешние пользователи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Пользователи сети Интернет, посещающие Ресурсы ОАО «ТГК-1»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Редакторы Ресурсов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Сотрудники структурных подразделений ОАО «ТГК-1», исполняющие работы согласно Регламенту по работе с Ресурсами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Функциональный администратор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Сотрудник структурного подразделения ОАО «ТГК-1» Исполняющие работы согласно Регламенту по работе с Ресурсами</w:t>
            </w:r>
          </w:p>
        </w:tc>
      </w:tr>
      <w:tr w:rsidR="0043150E">
        <w:trPr>
          <w:trHeight w:val="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Системный администратор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Сотрудник структурного подразделения ОАО «ТГК-1» Исполняющие работы согласно Регламенту по работе с Ресурсами</w:t>
            </w:r>
          </w:p>
        </w:tc>
      </w:tr>
    </w:tbl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Оборудование</w:t>
      </w:r>
    </w:p>
    <w:tbl>
      <w:tblPr>
        <w:tblW w:w="94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6796"/>
      </w:tblGrid>
      <w:tr w:rsidR="0043150E">
        <w:trPr>
          <w:trHeight w:val="20"/>
        </w:trPr>
        <w:tc>
          <w:tcPr>
            <w:tcW w:w="2694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679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Сервер Ресурсов ОАО «ТГК-1»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Физический или виртуальный АПК, на котором работает ПО Ресурсов. Владелец сервера — ОАО «ТГК-1»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Сетевая инфраструктура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АПК, обеспечивающий передачу данных между внешними (и внутренними) пользователями Ресурсов ОАО «ТГК-1» и Сервером Ресурсов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Почтовый сервер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АПК, обеспечивающий прием и отправку почтовых сообщений. Владелец Почтового сервера — ОАО «ТГК-1»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Программное обеспечение (ПО)</w:t>
      </w:r>
    </w:p>
    <w:tbl>
      <w:tblPr>
        <w:tblW w:w="94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4"/>
        <w:gridCol w:w="6796"/>
      </w:tblGrid>
      <w:tr w:rsidR="0043150E">
        <w:trPr>
          <w:trHeight w:val="20"/>
        </w:trPr>
        <w:tc>
          <w:tcPr>
            <w:tcW w:w="2694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ПО</w:t>
            </w:r>
          </w:p>
        </w:tc>
        <w:tc>
          <w:tcPr>
            <w:tcW w:w="6796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43150E">
        <w:trPr>
          <w:trHeight w:val="50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Серверная операционная система (ОС)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Операционная система сервера, —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Windows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Server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2008 R2 (или 2003)</w:t>
            </w:r>
          </w:p>
        </w:tc>
      </w:tr>
      <w:tr w:rsidR="0043150E">
        <w:trPr>
          <w:trHeight w:val="50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Серверное ПО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Программное обеспечение сервера Ресурсов за исключением Системы управления контентом</w:t>
            </w:r>
          </w:p>
        </w:tc>
      </w:tr>
      <w:tr w:rsidR="0043150E">
        <w:trPr>
          <w:trHeight w:val="320"/>
        </w:trPr>
        <w:tc>
          <w:tcPr>
            <w:tcW w:w="2694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Система управления контентом TYPO3</w:t>
            </w:r>
          </w:p>
        </w:tc>
        <w:tc>
          <w:tcPr>
            <w:tcW w:w="6796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Система, позволяющая внутренним пользователям управлять содержимым Ресурсов и обеспечивающая отображение Ресурсов в сети Интернет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Услуги, оказываемые Заказчиком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Критически необходимые для функционирования Ресурсов:</w:t>
      </w:r>
    </w:p>
    <w:p w:rsidR="0043150E" w:rsidRDefault="00EA4FA8">
      <w:pPr>
        <w:numPr>
          <w:ilvl w:val="0"/>
          <w:numId w:val="12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43150E" w:rsidRDefault="00EA4FA8">
      <w:pPr>
        <w:numPr>
          <w:ilvl w:val="0"/>
          <w:numId w:val="12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передачи данных между внешними (и внутренними) пользователями Ресурсов и Сервером Ресурсов по средствам сетевой инфраструктуры;</w:t>
      </w:r>
    </w:p>
    <w:p w:rsidR="0043150E" w:rsidRDefault="00EA4FA8">
      <w:pPr>
        <w:numPr>
          <w:ilvl w:val="0"/>
          <w:numId w:val="12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поддержка DNS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Необходимые для корректного функционирования Ресурсов:</w:t>
      </w:r>
    </w:p>
    <w:p w:rsidR="0043150E" w:rsidRDefault="00EA4FA8">
      <w:pPr>
        <w:numPr>
          <w:ilvl w:val="0"/>
          <w:numId w:val="8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доступности и работоспособности почтового сервера;</w:t>
      </w:r>
    </w:p>
    <w:p w:rsidR="0043150E" w:rsidRDefault="00EA4FA8">
      <w:pPr>
        <w:numPr>
          <w:ilvl w:val="0"/>
          <w:numId w:val="8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предусмотренные в регламентах резервного копирования и восстановления, аварийного и штатного обслуживания.</w:t>
      </w:r>
    </w:p>
    <w:p w:rsidR="0043150E" w:rsidRDefault="0043150E">
      <w:pPr>
        <w:spacing w:before="120"/>
        <w:ind w:left="720"/>
        <w:contextualSpacing w:val="0"/>
        <w:jc w:val="both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Уровень обслуживания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Доступность и оперативность обслуживания, классификация запросов на обслуживание</w:t>
      </w:r>
    </w:p>
    <w:p w:rsidR="0043150E" w:rsidRDefault="0043150E">
      <w:pPr>
        <w:contextualSpacing w:val="0"/>
      </w:pPr>
    </w:p>
    <w:tbl>
      <w:tblPr>
        <w:tblW w:w="9118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3240"/>
        <w:gridCol w:w="2151"/>
        <w:gridCol w:w="2059"/>
      </w:tblGrid>
      <w:tr w:rsidR="0043150E">
        <w:tc>
          <w:tcPr>
            <w:tcW w:w="1668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2151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Срок реагирования</w:t>
            </w:r>
          </w:p>
        </w:tc>
        <w:tc>
          <w:tcPr>
            <w:tcW w:w="2059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ind w:right="34"/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Срок выполнения</w:t>
            </w: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Недоступность \ неработоспособность Ресурсов, не зависящая от доступности сервера Ресурсов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одного часа с момента поступления запроса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Определяется после диагностики, зависит от сложности проблемы, но не более 3 рабочих дней</w:t>
            </w: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Недоработки или ошибки, не оказывающие влияния на работу пользователей Ресурсов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Определяется после диагностики, зависит от сложности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проблемы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но не более 1 месяца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Срочная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В течение часа с момента поступления запроса 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3-х часов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Штатная</w:t>
            </w:r>
          </w:p>
        </w:tc>
        <w:tc>
          <w:tcPr>
            <w:tcW w:w="2151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зависимости от  вопроса, но не более 5 рабочих дней</w:t>
            </w: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Порядок инициации, эскалации, отслеживания и закрытия инцидентов/запросов на обслуживание</w:t>
      </w:r>
    </w:p>
    <w:tbl>
      <w:tblPr>
        <w:tblW w:w="918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3240"/>
        <w:gridCol w:w="4277"/>
      </w:tblGrid>
      <w:tr w:rsidR="0043150E">
        <w:tc>
          <w:tcPr>
            <w:tcW w:w="1668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4277" w:type="dxa"/>
            <w:shd w:val="clear" w:color="auto" w:fill="C6D9F1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Порядок взаимодействия</w:t>
            </w: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Проблема доступности Ресурсов, не зависящая от доступности сервера, на котором расположены Ресурсы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1. Заявка от пользователя. Заявка о проблеме -&gt; Служба поддержки пользователей ОАО «ТГК-1» -&gt; функциональный администратор (удостоверение уровня проблемы) -&gt; исполнитель 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или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2. Заявка от администратора. Прямое обращение к Исполнителю </w:t>
            </w:r>
          </w:p>
        </w:tc>
      </w:tr>
      <w:tr w:rsidR="0043150E">
        <w:trPr>
          <w:trHeight w:val="21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</w:tr>
      <w:tr w:rsidR="0043150E"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Недоработки или ошибки, не оказывающие влияния на работу пользователей Ресурсов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Заявка от пользователя. Заявка о проблеме -&gt; Служба поддержки пользователей ОАО «ТГК-1»  -&gt; функциональный администратор (удостоверение уровня проблемы) -&gt; Исполнитель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Срочная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1. Заявка от пользователя. Заявка о проблеме -&gt; Сервис деск ТГК-1 -&gt; Функциональный администратор (удостоверение уровня проблемы) -&gt; Исполнитель</w:t>
            </w:r>
          </w:p>
          <w:p w:rsidR="0043150E" w:rsidRDefault="00EA4FA8">
            <w:pPr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или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2. Заявка от администратора. Прямое обращение к Исполнителю</w:t>
            </w:r>
          </w:p>
        </w:tc>
      </w:tr>
      <w:tr w:rsidR="0043150E">
        <w:trPr>
          <w:trHeight w:val="940"/>
        </w:trPr>
        <w:tc>
          <w:tcPr>
            <w:tcW w:w="1668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  <w:tc>
          <w:tcPr>
            <w:tcW w:w="3240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Штатная </w:t>
            </w:r>
          </w:p>
        </w:tc>
        <w:tc>
          <w:tcPr>
            <w:tcW w:w="4277" w:type="dxa"/>
            <w:shd w:val="clear" w:color="auto" w:fill="FFFFFF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43150E">
            <w:pPr>
              <w:contextualSpacing w:val="0"/>
            </w:pPr>
          </w:p>
        </w:tc>
      </w:tr>
    </w:tbl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  <w:shd w:val="clear" w:color="auto" w:fill="FFD320"/>
        </w:rPr>
      </w:pPr>
      <w:r>
        <w:rPr>
          <w:rFonts w:ascii="Times New Roman" w:eastAsia="Times New Roman" w:hAnsi="Times New Roman" w:cs="Times New Roman"/>
        </w:rPr>
        <w:t>Порядок проведения регламентных работ.</w:t>
      </w: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  <w:b/>
          <w:shd w:val="clear" w:color="auto" w:fill="FFD320"/>
        </w:rPr>
      </w:pPr>
      <w:r>
        <w:rPr>
          <w:rFonts w:ascii="Times New Roman" w:eastAsia="Times New Roman" w:hAnsi="Times New Roman" w:cs="Times New Roman"/>
          <w:b/>
        </w:rPr>
        <w:t>Проведение работ по обновлению операционной системы сервера, серверного ПО согласно регламенту штатного обслуживания Ресурсов ОАО «ТГК-1»: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proofErr w:type="gramStart"/>
      <w:r>
        <w:rPr>
          <w:rFonts w:ascii="Times New Roman" w:eastAsia="Times New Roman" w:hAnsi="Times New Roman" w:cs="Times New Roman"/>
        </w:rPr>
        <w:t>системный</w:t>
      </w:r>
      <w:proofErr w:type="gramEnd"/>
      <w:r>
        <w:rPr>
          <w:rFonts w:ascii="Times New Roman" w:eastAsia="Times New Roman" w:hAnsi="Times New Roman" w:cs="Times New Roman"/>
        </w:rPr>
        <w:t xml:space="preserve"> администратор Ресурсов (сотрудник ОАО «ТГК-1») оповещает Исполнителя о намерении провести обновления операционной системы или серверного ПО Ресурсов ОАО «ТГК-1» не позднее, чем за три рабочих дня до проведения обновления, любыми доступными способами (эл. почта, телефон, и т.п.);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Исполнитель, функциональный администратор ОАО «ТГК-1» и системный администратор ОАО «ТГК-1» согласовывают время проведения регламентных работ, проектное время приостановки оказания услуги;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системный администратор Ресурсов ОАО «ТГК-1» выполняет регламентные работы;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специалисты исполнителя проводят тестирование сервисов Ресурсов с целью выявления ошибок функционирования. </w:t>
      </w:r>
    </w:p>
    <w:p w:rsidR="0043150E" w:rsidRDefault="00EA4FA8">
      <w:pPr>
        <w:numPr>
          <w:ilvl w:val="2"/>
          <w:numId w:val="2"/>
        </w:numPr>
        <w:spacing w:before="60" w:after="60"/>
        <w:ind w:hanging="503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Общие положения по проведению регламентных работ: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t>сроки проведения работ и проектное время остановки оказания услуги должны быть согласованы с Исполнителем и функциональным администратором Ресурсов ОАО «ТГК-1»;</w:t>
      </w:r>
    </w:p>
    <w:p w:rsidR="0043150E" w:rsidRDefault="00EA4FA8">
      <w:pPr>
        <w:numPr>
          <w:ilvl w:val="3"/>
          <w:numId w:val="2"/>
        </w:numPr>
        <w:spacing w:before="60" w:after="60"/>
        <w:ind w:hanging="359"/>
        <w:jc w:val="both"/>
      </w:pPr>
      <w:r>
        <w:rPr>
          <w:rFonts w:ascii="Times New Roman" w:eastAsia="Times New Roman" w:hAnsi="Times New Roman" w:cs="Times New Roman"/>
        </w:rPr>
        <w:lastRenderedPageBreak/>
        <w:t>любые регламентные работы на сервере должны завершаться этапом тестирования сервисов Ресурса с целью выявления ошибок функционирования.</w:t>
      </w:r>
    </w:p>
    <w:p w:rsidR="0043150E" w:rsidRDefault="0043150E">
      <w:pPr>
        <w:ind w:left="360"/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Мониторинг и отчетность</w:t>
      </w: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Мониторинг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Мониторинг доступности Ресурсов осуществляется сотрудниками заказчика посредством автоматизированной системы.</w:t>
      </w:r>
    </w:p>
    <w:p w:rsidR="0043150E" w:rsidRDefault="0043150E">
      <w:pPr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Регулярная отчетность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 xml:space="preserve">Отчет по проведенным работам за прошедший месяц предоставляется в течение первых пяти рабочих дней месяца, следующего за отчетным. Отчетность включает в себя отчет по выполненным работам и план работ на следующий месяц. </w:t>
      </w:r>
    </w:p>
    <w:p w:rsidR="0043150E" w:rsidRDefault="00EA4FA8">
      <w:pPr>
        <w:ind w:firstLine="360"/>
        <w:contextualSpacing w:val="0"/>
      </w:pPr>
      <w:r>
        <w:rPr>
          <w:rFonts w:ascii="Times New Roman" w:eastAsia="Times New Roman" w:hAnsi="Times New Roman" w:cs="Times New Roman"/>
        </w:rPr>
        <w:t>3.3. Аналитические отчеты по Ресурсам: аналитические отчеты по посещаемости Ресурсов предоставляются в течение первых пяти рабочих дней месяца, следующего за отчетным.</w:t>
      </w:r>
    </w:p>
    <w:p w:rsidR="0043150E" w:rsidRDefault="0043150E">
      <w:pPr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Форс-мажорные обстоятельства</w:t>
      </w: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t>Действия Сторон при возникновении форс-мажорных обстоятельств определены законодательством Российской Федерации.</w:t>
      </w:r>
    </w:p>
    <w:p w:rsidR="0043150E" w:rsidRDefault="0043150E">
      <w:pPr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Задачи и ответственность</w:t>
      </w:r>
    </w:p>
    <w:p w:rsidR="0043150E" w:rsidRDefault="0043150E">
      <w:pPr>
        <w:ind w:left="360"/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Задачи и ответственность исполнителя: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обслуживание системы управления контентом Ресурсов;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диагностика и устранение аварийных ситуаций на уровне системы управления контентом Ресурсов;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корректировка системы по некритическим проблемам сервиса (ошибки, не оказывающие влияния на работу пользователей Ресурса);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консультирование пользователей;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ежемесячный мониторинг посещаемости Ресурсов, подготовка отчета, оценка динамики посещений Ресурсов: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>- динамика посещений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</w:rPr>
        <w:t>таргетинг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трендинг</w:t>
      </w:r>
      <w:proofErr w:type="spellEnd"/>
      <w:r>
        <w:rPr>
          <w:rFonts w:ascii="Times New Roman" w:eastAsia="Times New Roman" w:hAnsi="Times New Roman" w:cs="Times New Roman"/>
        </w:rPr>
        <w:t xml:space="preserve"> посетителей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>- популярный контент Ресурсов</w:t>
      </w:r>
    </w:p>
    <w:p w:rsidR="0043150E" w:rsidRDefault="00EA4FA8">
      <w:pPr>
        <w:spacing w:before="120"/>
        <w:ind w:left="1491" w:hanging="359"/>
        <w:contextualSpacing w:val="0"/>
      </w:pPr>
      <w:r>
        <w:rPr>
          <w:rFonts w:ascii="Times New Roman" w:eastAsia="Times New Roman" w:hAnsi="Times New Roman" w:cs="Times New Roman"/>
        </w:rPr>
        <w:t>- оценка эффектов от публикации важной разовой информации, влияние на посещаемость, аудиторию;</w:t>
      </w:r>
    </w:p>
    <w:p w:rsidR="0043150E" w:rsidRDefault="00EA4FA8">
      <w:pPr>
        <w:numPr>
          <w:ilvl w:val="0"/>
          <w:numId w:val="4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анализ редакторской политики Ресурсов, выработка предложений по увеличению эффективности Ресурсов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43150E" w:rsidRDefault="0043150E">
      <w:pPr>
        <w:ind w:left="708"/>
        <w:contextualSpacing w:val="0"/>
      </w:pPr>
    </w:p>
    <w:p w:rsidR="0043150E" w:rsidRDefault="00EA4FA8">
      <w:pPr>
        <w:numPr>
          <w:ilvl w:val="1"/>
          <w:numId w:val="2"/>
        </w:numPr>
        <w:spacing w:before="60" w:after="60"/>
        <w:ind w:hanging="43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Задачи и ответственность заказчика: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передачи данных между внешними (и внутренними) пользователями Ресурса и Сервером Ресурсов;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поддержка DNS Ресурса;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lastRenderedPageBreak/>
        <w:t>обеспечение функционирования  Почтового сервера;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мониторинг доступности Ресурсов и регистрация нарушений его работы;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прием и централизация заявок пользователей на обслуживание;</w:t>
      </w:r>
    </w:p>
    <w:p w:rsidR="0043150E" w:rsidRDefault="00EA4FA8">
      <w:pPr>
        <w:numPr>
          <w:ilvl w:val="0"/>
          <w:numId w:val="3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взаимодействия с исполнителем.</w:t>
      </w:r>
    </w:p>
    <w:p w:rsidR="0043150E" w:rsidRDefault="0043150E">
      <w:pPr>
        <w:spacing w:before="120"/>
        <w:ind w:left="1068"/>
        <w:contextualSpacing w:val="0"/>
      </w:pPr>
    </w:p>
    <w:p w:rsidR="0043150E" w:rsidRDefault="00EA4FA8">
      <w:pPr>
        <w:numPr>
          <w:ilvl w:val="0"/>
          <w:numId w:val="2"/>
        </w:numPr>
        <w:spacing w:before="60" w:after="60"/>
        <w:ind w:hanging="359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Нормирование перерывов в работе основных сервисов Ресурса* по вине Исполнителя.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  <w:b/>
        </w:rPr>
        <w:t>В рабочее время сайта: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</w:rPr>
        <w:t xml:space="preserve">не более 2 часов в месяц. 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  <w:b/>
        </w:rPr>
        <w:t>В нерабочее время сайта: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</w:rPr>
        <w:t xml:space="preserve">не более 8 часов в месяц, не более 60 часов в год.  </w:t>
      </w:r>
    </w:p>
    <w:p w:rsidR="0043150E" w:rsidRDefault="00EA4FA8">
      <w:pPr>
        <w:spacing w:before="120"/>
        <w:contextualSpacing w:val="0"/>
      </w:pPr>
      <w:r>
        <w:rPr>
          <w:rFonts w:ascii="Times New Roman" w:eastAsia="Times New Roman" w:hAnsi="Times New Roman" w:cs="Times New Roman"/>
          <w:b/>
        </w:rPr>
        <w:t>К основным сервисам Ресурсов относятся:</w:t>
      </w:r>
    </w:p>
    <w:p w:rsidR="0043150E" w:rsidRDefault="00B17884">
      <w:pPr>
        <w:spacing w:before="120"/>
        <w:contextualSpacing w:val="0"/>
      </w:pPr>
      <w:hyperlink r:id="rId15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http://www.tgc1.ru</w:t>
        </w:r>
      </w:hyperlink>
      <w:hyperlink r:id="rId16"/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главная страница сайта, в т. ч. доступность ссылок на главной странице;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система закупок и конкурсов;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публикация оперативной информации;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публикация материалов обязательных для раскрытия в разделе Акционерам и инвесторам;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система новостей компании, в т. ч. архив новостей компании;</w:t>
      </w:r>
    </w:p>
    <w:p w:rsidR="0043150E" w:rsidRDefault="00EA4FA8">
      <w:pPr>
        <w:numPr>
          <w:ilvl w:val="0"/>
          <w:numId w:val="6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контакты и реквизиты компании.</w:t>
      </w:r>
    </w:p>
    <w:p w:rsidR="0043150E" w:rsidRDefault="00B17884">
      <w:pPr>
        <w:spacing w:before="120"/>
        <w:contextualSpacing w:val="0"/>
        <w:jc w:val="both"/>
      </w:pPr>
      <w:hyperlink r:id="rId17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http://www.myenergy.ru</w:t>
        </w:r>
      </w:hyperlink>
      <w:hyperlink r:id="rId18"/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главная страница сайта, в том числе доступность ссылок на главной странице;</w:t>
      </w:r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система новостей; </w:t>
      </w:r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 xml:space="preserve">система публикации </w:t>
      </w:r>
      <w:proofErr w:type="spellStart"/>
      <w:r>
        <w:rPr>
          <w:rFonts w:ascii="Times New Roman" w:eastAsia="Times New Roman" w:hAnsi="Times New Roman" w:cs="Times New Roman"/>
        </w:rPr>
        <w:t>медиаконтента</w:t>
      </w:r>
      <w:proofErr w:type="spellEnd"/>
      <w:r>
        <w:rPr>
          <w:rFonts w:ascii="Times New Roman" w:eastAsia="Times New Roman" w:hAnsi="Times New Roman" w:cs="Times New Roman"/>
        </w:rPr>
        <w:t>;</w:t>
      </w:r>
    </w:p>
    <w:p w:rsidR="0043150E" w:rsidRDefault="00EA4FA8">
      <w:pPr>
        <w:numPr>
          <w:ilvl w:val="0"/>
          <w:numId w:val="11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раздел Азбука энергетики</w:t>
      </w:r>
    </w:p>
    <w:p w:rsidR="0043150E" w:rsidRDefault="00B17884">
      <w:pPr>
        <w:spacing w:before="120"/>
        <w:contextualSpacing w:val="0"/>
        <w:jc w:val="both"/>
      </w:pPr>
      <w:hyperlink r:id="rId19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http://game.myenergy.ru</w:t>
        </w:r>
      </w:hyperlink>
      <w:hyperlink r:id="rId20"/>
    </w:p>
    <w:p w:rsidR="0043150E" w:rsidRDefault="00EA4FA8">
      <w:pPr>
        <w:numPr>
          <w:ilvl w:val="0"/>
          <w:numId w:val="10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игровой интерфейс</w:t>
      </w:r>
    </w:p>
    <w:p w:rsidR="0043150E" w:rsidRDefault="00EA4FA8">
      <w:pPr>
        <w:numPr>
          <w:ilvl w:val="0"/>
          <w:numId w:val="10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обеспечение гиперссылок между игровым интерфейсом и раздело Энергетика России</w:t>
      </w:r>
    </w:p>
    <w:p w:rsidR="0043150E" w:rsidRDefault="00B17884">
      <w:pPr>
        <w:spacing w:before="120"/>
        <w:contextualSpacing w:val="0"/>
        <w:jc w:val="both"/>
      </w:pPr>
      <w:hyperlink r:id="rId21">
        <w:r w:rsidR="00EA4FA8">
          <w:rPr>
            <w:rFonts w:ascii="Times New Roman" w:eastAsia="Times New Roman" w:hAnsi="Times New Roman" w:cs="Times New Roman"/>
            <w:color w:val="0000FF"/>
            <w:u w:val="single"/>
          </w:rPr>
          <w:t>http://www.energomuseum.ru</w:t>
        </w:r>
      </w:hyperlink>
      <w:hyperlink r:id="rId22"/>
    </w:p>
    <w:p w:rsidR="0043150E" w:rsidRDefault="00EA4FA8">
      <w:pPr>
        <w:numPr>
          <w:ilvl w:val="0"/>
          <w:numId w:val="9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главная страница сайта, в том числе доступность ссылок на главной странице</w:t>
      </w:r>
    </w:p>
    <w:p w:rsidR="0043150E" w:rsidRDefault="00EA4FA8">
      <w:pPr>
        <w:numPr>
          <w:ilvl w:val="0"/>
          <w:numId w:val="9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система публикации контента в разделах Афиша, Временная экспозиция</w:t>
      </w:r>
    </w:p>
    <w:p w:rsidR="0043150E" w:rsidRDefault="00EA4FA8">
      <w:pPr>
        <w:numPr>
          <w:ilvl w:val="0"/>
          <w:numId w:val="9"/>
        </w:numPr>
        <w:spacing w:before="120"/>
        <w:ind w:hanging="359"/>
        <w:jc w:val="both"/>
      </w:pPr>
      <w:r>
        <w:rPr>
          <w:rFonts w:ascii="Times New Roman" w:eastAsia="Times New Roman" w:hAnsi="Times New Roman" w:cs="Times New Roman"/>
        </w:rPr>
        <w:t>игровой интерфейс «Музея»</w:t>
      </w:r>
    </w:p>
    <w:p w:rsidR="0043150E" w:rsidRDefault="0043150E">
      <w:pPr>
        <w:contextualSpacing w:val="0"/>
      </w:pPr>
    </w:p>
    <w:p w:rsidR="0043150E" w:rsidRDefault="00EA4FA8">
      <w:pPr>
        <w:contextualSpacing w:val="0"/>
      </w:pPr>
      <w:r>
        <w:rPr>
          <w:rFonts w:ascii="Times New Roman" w:eastAsia="Times New Roman" w:hAnsi="Times New Roman" w:cs="Times New Roman"/>
        </w:rPr>
        <w:br/>
        <w:t>Приложение №2</w:t>
      </w:r>
    </w:p>
    <w:p w:rsidR="0043150E" w:rsidRDefault="0043150E">
      <w:pPr>
        <w:tabs>
          <w:tab w:val="left" w:pos="630"/>
        </w:tabs>
        <w:ind w:left="709"/>
        <w:contextualSpacing w:val="0"/>
        <w:jc w:val="center"/>
      </w:pPr>
    </w:p>
    <w:p w:rsidR="0043150E" w:rsidRDefault="00EA4FA8">
      <w:pPr>
        <w:tabs>
          <w:tab w:val="left" w:pos="630"/>
        </w:tabs>
        <w:ind w:left="709"/>
        <w:contextualSpacing w:val="0"/>
        <w:jc w:val="center"/>
      </w:pPr>
      <w:r>
        <w:rPr>
          <w:rFonts w:ascii="Times New Roman" w:eastAsia="Times New Roman" w:hAnsi="Times New Roman" w:cs="Times New Roman"/>
          <w:b/>
        </w:rPr>
        <w:t>Требования к организационным и техническим мерам обеспечения защищенности интернет-сайтов</w:t>
      </w:r>
    </w:p>
    <w:p w:rsidR="0043150E" w:rsidRDefault="0043150E">
      <w:pPr>
        <w:tabs>
          <w:tab w:val="left" w:pos="1100"/>
          <w:tab w:val="right" w:pos="9356"/>
          <w:tab w:val="right" w:pos="9923"/>
        </w:tabs>
        <w:contextualSpacing w:val="0"/>
        <w:jc w:val="center"/>
      </w:pPr>
    </w:p>
    <w:p w:rsidR="0043150E" w:rsidRDefault="00EA4FA8" w:rsidP="005C7696">
      <w:pPr>
        <w:numPr>
          <w:ilvl w:val="0"/>
          <w:numId w:val="7"/>
        </w:numPr>
        <w:ind w:left="567" w:hanging="567"/>
      </w:pPr>
      <w:r>
        <w:rPr>
          <w:rFonts w:ascii="Times New Roman" w:eastAsia="Times New Roman" w:hAnsi="Times New Roman" w:cs="Times New Roman"/>
        </w:rPr>
        <w:t xml:space="preserve">Технические меры </w:t>
      </w:r>
    </w:p>
    <w:p w:rsidR="0043150E" w:rsidRDefault="00EA4FA8" w:rsidP="005C7696">
      <w:pPr>
        <w:numPr>
          <w:ilvl w:val="1"/>
          <w:numId w:val="7"/>
        </w:numPr>
        <w:ind w:left="567" w:hanging="567"/>
        <w:jc w:val="both"/>
      </w:pPr>
      <w:r>
        <w:rPr>
          <w:rFonts w:ascii="Times New Roman" w:eastAsia="Times New Roman" w:hAnsi="Times New Roman" w:cs="Times New Roman"/>
        </w:rPr>
        <w:t xml:space="preserve">Обеспечение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</w:t>
      </w:r>
    </w:p>
    <w:p w:rsidR="0043150E" w:rsidRDefault="00EA4FA8">
      <w:pPr>
        <w:tabs>
          <w:tab w:val="left" w:pos="709"/>
          <w:tab w:val="left" w:pos="993"/>
        </w:tabs>
        <w:ind w:firstLine="709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Для обеспечения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-сервера должны быть заданы соответствующие настройки (режимы функционирования) системного и прикладного программного обеспечения (далее – ПО)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 (таблица 1), а также установлены дополнительные средства защиты (таблица 2)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5C7696" w:rsidRDefault="005C7696">
      <w:pPr>
        <w:tabs>
          <w:tab w:val="left" w:pos="709"/>
          <w:tab w:val="left" w:pos="993"/>
        </w:tabs>
        <w:contextualSpacing w:val="0"/>
        <w:jc w:val="right"/>
        <w:rPr>
          <w:rFonts w:ascii="Times New Roman" w:eastAsia="Times New Roman" w:hAnsi="Times New Roman" w:cs="Times New Roman"/>
          <w:i/>
        </w:rPr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lastRenderedPageBreak/>
        <w:t xml:space="preserve">Таблица 1. Настройки (режимы функционирования) системного и прикладного </w:t>
      </w:r>
      <w:r>
        <w:rPr>
          <w:rFonts w:ascii="Times New Roman" w:eastAsia="Times New Roman" w:hAnsi="Times New Roman" w:cs="Times New Roman"/>
          <w:i/>
        </w:rPr>
        <w:br/>
        <w:t xml:space="preserve">ПО для обеспечения безопасности </w:t>
      </w:r>
      <w:proofErr w:type="spellStart"/>
      <w:r>
        <w:rPr>
          <w:rFonts w:ascii="Times New Roman" w:eastAsia="Times New Roman" w:hAnsi="Times New Roman" w:cs="Times New Roman"/>
          <w:i/>
        </w:rPr>
        <w:t>web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-сервера. 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right"/>
      </w:pPr>
    </w:p>
    <w:tbl>
      <w:tblPr>
        <w:tblW w:w="95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"/>
        <w:gridCol w:w="2986"/>
        <w:gridCol w:w="3260"/>
        <w:gridCol w:w="2850"/>
      </w:tblGrid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Настройки (режим функционирования)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соответствия настроек требованиям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Сроки устранения выявленных несоответствий</w:t>
            </w:r>
          </w:p>
        </w:tc>
      </w:tr>
      <w:tr w:rsidR="0043150E">
        <w:trPr>
          <w:trHeight w:val="1440"/>
        </w:trPr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Отсутствие (блокирование)  неиспользуемых для работы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-сервера системных служб и приложений</w:t>
            </w:r>
          </w:p>
          <w:p w:rsidR="0043150E" w:rsidRDefault="0043150E">
            <w:pPr>
              <w:contextualSpacing w:val="0"/>
            </w:pP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нового (обновления имеющегося) системного и прикладного программного обеспечения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Отсутствие на сервере тестовых файлов, включая исполняемый код и документацию производителя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нового (обновления имеющегося) системного и прикладного программного обеспечения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в течение 1 рабочего дня с момента  выявления 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Настройки политик учетных записей в соответствии с требованиями к парольной защите для администраторов и пользователей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утверждения требований (внесения изменений в требования) к учетным записям или выявления несоответствия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Поддержание в актуальном состоянии установленных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-сервере исправлений и обновлений системного и прикладного программного обеспечения.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Установка в течение 1 рабочего дня после выхода стабильной версии системного и прикладного ПО или обновлений к ним</w:t>
            </w:r>
          </w:p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Для критических уязвимостей – установка в течение 8 часов после выхода обновления  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службы временной синхронизации с источниками точного времени.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 несоответствия</w:t>
            </w:r>
          </w:p>
        </w:tc>
      </w:tr>
      <w:tr w:rsidR="0043150E">
        <w:tc>
          <w:tcPr>
            <w:tcW w:w="46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98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Автоматического ведения журналов событий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log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-файлов) на отдельном сервере, с возможностью просмотра событий за предыдущие 6 месяцев</w:t>
            </w:r>
          </w:p>
        </w:tc>
        <w:tc>
          <w:tcPr>
            <w:tcW w:w="326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постоянно</w:t>
            </w:r>
          </w:p>
        </w:tc>
        <w:tc>
          <w:tcPr>
            <w:tcW w:w="2850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 несоответствия</w:t>
            </w:r>
          </w:p>
        </w:tc>
      </w:tr>
    </w:tbl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5C7696" w:rsidRDefault="005C7696">
      <w:pPr>
        <w:tabs>
          <w:tab w:val="left" w:pos="709"/>
          <w:tab w:val="left" w:pos="993"/>
        </w:tabs>
        <w:contextualSpacing w:val="0"/>
        <w:jc w:val="right"/>
        <w:rPr>
          <w:rFonts w:ascii="Times New Roman" w:eastAsia="Times New Roman" w:hAnsi="Times New Roman" w:cs="Times New Roman"/>
          <w:i/>
        </w:rPr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t xml:space="preserve">Таблица 2. Дополнительные средства защиты 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tbl>
      <w:tblPr>
        <w:tblW w:w="95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937"/>
        <w:gridCol w:w="3249"/>
        <w:gridCol w:w="2911"/>
      </w:tblGrid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средства защиты информации (СЗИ)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Основные настройки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настроек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Наличие технических мер по предотвращению подбора пароля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В соответствии с рекомендациями производителя 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и контроль актуальности антивирусного программного обеспечения;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осуществления полной проверки – при установке/обновлении системного и прикладного программного обеспечения</w:t>
            </w:r>
          </w:p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 производителей, но не реже одного раза в сутки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и контроль актуальности антишпионского программного обеспечения;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contextualSpacing w:val="0"/>
            </w:pPr>
          </w:p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Настройка и контроль актуальности обнаружители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rootkit'oв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Настройка и контроль актуальности программные системы обнаружения вторжений (IDS)/предотвращения вторжений (IPS);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обновлений: в течение 1 суток после появления у производителя стабильной версии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Наличие, настройка и контроль актуальности межсетевого экрана.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Осуществление резервного копирования 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Резервное копирование – ежедневно</w:t>
            </w:r>
          </w:p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Хранение резервных копий – в течение одного месяца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293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Идентификация событий, подлежащих контролю, и проверка автоматического ведения соответствующих журналов событий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log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-файлов).</w:t>
            </w:r>
          </w:p>
        </w:tc>
        <w:tc>
          <w:tcPr>
            <w:tcW w:w="324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Ведение журнала учета</w:t>
            </w:r>
          </w:p>
          <w:p w:rsidR="0043150E" w:rsidRDefault="00EA4FA8">
            <w:pPr>
              <w:tabs>
                <w:tab w:val="left" w:pos="1276"/>
                <w:tab w:val="left" w:pos="1450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Обеспечение хранение журнала на отдельном сервере в течении 3 месяцев</w:t>
            </w:r>
          </w:p>
        </w:tc>
        <w:tc>
          <w:tcPr>
            <w:tcW w:w="2911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43150E">
            <w:pPr>
              <w:tabs>
                <w:tab w:val="left" w:pos="1276"/>
                <w:tab w:val="left" w:pos="1450"/>
              </w:tabs>
              <w:contextualSpacing w:val="0"/>
            </w:pPr>
          </w:p>
        </w:tc>
      </w:tr>
    </w:tbl>
    <w:p w:rsidR="0043150E" w:rsidRDefault="0043150E">
      <w:pPr>
        <w:tabs>
          <w:tab w:val="left" w:pos="709"/>
          <w:tab w:val="left" w:pos="1134"/>
        </w:tabs>
        <w:ind w:left="709"/>
        <w:contextualSpacing w:val="0"/>
        <w:jc w:val="both"/>
      </w:pPr>
    </w:p>
    <w:p w:rsidR="0043150E" w:rsidRDefault="00EA4FA8" w:rsidP="002D0FDF">
      <w:pPr>
        <w:numPr>
          <w:ilvl w:val="1"/>
          <w:numId w:val="7"/>
        </w:numPr>
        <w:ind w:left="567" w:hanging="567"/>
        <w:jc w:val="both"/>
      </w:pPr>
      <w:r>
        <w:rPr>
          <w:rFonts w:ascii="Times New Roman" w:eastAsia="Times New Roman" w:hAnsi="Times New Roman" w:cs="Times New Roman"/>
        </w:rPr>
        <w:t xml:space="preserve">Обеспечение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-ресурсов</w:t>
      </w:r>
    </w:p>
    <w:p w:rsidR="0043150E" w:rsidRDefault="00EA4FA8">
      <w:pPr>
        <w:tabs>
          <w:tab w:val="left" w:pos="709"/>
          <w:tab w:val="left" w:pos="993"/>
        </w:tabs>
        <w:ind w:firstLine="709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Для обеспечения безопасности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-ресурсов должны быть заданы соответствующие настройки (режимы функционирования) прикладного программного обеспечения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 (таблица 3)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t xml:space="preserve">Таблица 3. Настройки (режимы функционирования) прикладного ПО </w:t>
      </w:r>
      <w:r>
        <w:rPr>
          <w:rFonts w:ascii="Times New Roman" w:eastAsia="Times New Roman" w:hAnsi="Times New Roman" w:cs="Times New Roman"/>
          <w:i/>
        </w:rPr>
        <w:br/>
        <w:t xml:space="preserve">для обеспечения безопасности </w:t>
      </w:r>
      <w:proofErr w:type="spellStart"/>
      <w:r>
        <w:rPr>
          <w:rFonts w:ascii="Times New Roman" w:eastAsia="Times New Roman" w:hAnsi="Times New Roman" w:cs="Times New Roman"/>
          <w:i/>
        </w:rPr>
        <w:t>web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-сервера. 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tbl>
      <w:tblPr>
        <w:tblW w:w="9516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3013"/>
        <w:gridCol w:w="3218"/>
        <w:gridCol w:w="2817"/>
      </w:tblGrid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Настройки (режим функционирования)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соответствия настроек требованиям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Сроки устранения выявленных несоответствий</w:t>
            </w:r>
          </w:p>
        </w:tc>
      </w:tr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Отсутствие в базе данных интернет-сайта данных, используемых для работы других информационных систем.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при внесении изменений в работу БД, включая разделение сайтов, но не реже одного раза в квартал.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3 рабочих дней с момента  выявления</w:t>
            </w:r>
          </w:p>
        </w:tc>
      </w:tr>
      <w:tr w:rsidR="0043150E">
        <w:trPr>
          <w:trHeight w:val="282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Настройка CMS для анализ исполняемых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-сервером программ, на предмет контроля вводимых пользовательских данных и их фильтрации по только разрешенным символам. 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ежеквартально 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118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Запрет обработки специальных символов или HTML-тэгов. 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в течение 1 рабочего дня с момента  выявления </w:t>
            </w:r>
          </w:p>
        </w:tc>
      </w:tr>
      <w:tr w:rsidR="0043150E">
        <w:trPr>
          <w:trHeight w:val="58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Запрет записи пользовательских данных в системные каталоги или каталоги другого программного обеспечения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-сервера.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Контроль целостности данных (контента),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обрабатываемых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-сервере.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Еженедельно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30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3013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Проверка наличия и корректности файла robots.txt.</w:t>
            </w:r>
          </w:p>
        </w:tc>
        <w:tc>
          <w:tcPr>
            <w:tcW w:w="321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Еженедельно</w:t>
            </w:r>
          </w:p>
        </w:tc>
        <w:tc>
          <w:tcPr>
            <w:tcW w:w="2817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8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</w:tbl>
    <w:p w:rsidR="0043150E" w:rsidRDefault="0043150E">
      <w:pPr>
        <w:tabs>
          <w:tab w:val="left" w:pos="709"/>
          <w:tab w:val="left" w:pos="1134"/>
        </w:tabs>
        <w:contextualSpacing w:val="0"/>
        <w:jc w:val="both"/>
      </w:pPr>
    </w:p>
    <w:p w:rsidR="0043150E" w:rsidRDefault="00EA4FA8" w:rsidP="005C7696">
      <w:pPr>
        <w:numPr>
          <w:ilvl w:val="1"/>
          <w:numId w:val="7"/>
        </w:numPr>
        <w:ind w:left="567" w:hanging="567"/>
        <w:jc w:val="both"/>
      </w:pPr>
      <w:r>
        <w:rPr>
          <w:rFonts w:ascii="Times New Roman" w:eastAsia="Times New Roman" w:hAnsi="Times New Roman" w:cs="Times New Roman"/>
        </w:rPr>
        <w:t xml:space="preserve">Обеспечение безопасности сетевого взаимодействия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</w:t>
      </w:r>
    </w:p>
    <w:p w:rsidR="0043150E" w:rsidRDefault="00EA4FA8">
      <w:pPr>
        <w:tabs>
          <w:tab w:val="left" w:pos="709"/>
          <w:tab w:val="left" w:pos="993"/>
        </w:tabs>
        <w:ind w:firstLine="709"/>
        <w:contextualSpacing w:val="0"/>
        <w:jc w:val="both"/>
      </w:pPr>
      <w:r>
        <w:rPr>
          <w:rFonts w:ascii="Times New Roman" w:eastAsia="Times New Roman" w:hAnsi="Times New Roman" w:cs="Times New Roman"/>
        </w:rPr>
        <w:t xml:space="preserve">Для обеспечения безопасности сетевого взаимодействия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>-сервера должны быть заданы соответствующие сетевые настройки (настройки сетевых средств защиты информации) (таблица 4)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p w:rsidR="0043150E" w:rsidRDefault="00EA4FA8">
      <w:pPr>
        <w:tabs>
          <w:tab w:val="left" w:pos="709"/>
          <w:tab w:val="left" w:pos="993"/>
        </w:tabs>
        <w:contextualSpacing w:val="0"/>
        <w:jc w:val="right"/>
      </w:pPr>
      <w:r>
        <w:rPr>
          <w:rFonts w:ascii="Times New Roman" w:eastAsia="Times New Roman" w:hAnsi="Times New Roman" w:cs="Times New Roman"/>
          <w:i/>
        </w:rPr>
        <w:t>Таблица 4. Сетевые настройки (настройки сетевых средств защиты информации)</w:t>
      </w:r>
    </w:p>
    <w:p w:rsidR="0043150E" w:rsidRDefault="0043150E">
      <w:pPr>
        <w:tabs>
          <w:tab w:val="left" w:pos="709"/>
          <w:tab w:val="left" w:pos="993"/>
        </w:tabs>
        <w:contextualSpacing w:val="0"/>
        <w:jc w:val="both"/>
      </w:pPr>
    </w:p>
    <w:tbl>
      <w:tblPr>
        <w:tblW w:w="9565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3329"/>
        <w:gridCol w:w="2942"/>
        <w:gridCol w:w="2826"/>
      </w:tblGrid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:rsidR="0043150E" w:rsidRDefault="00EA4FA8">
            <w:pPr>
              <w:tabs>
                <w:tab w:val="left" w:pos="993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Настройки (режим функционирования)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Периодичность контроля соответствия настроек требованиям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  <w:vAlign w:val="center"/>
          </w:tcPr>
          <w:p w:rsidR="0043150E" w:rsidRDefault="00EA4FA8">
            <w:pPr>
              <w:tabs>
                <w:tab w:val="left" w:pos="993"/>
              </w:tabs>
              <w:contextualSpacing w:val="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Сроки устранения выявленных несоответствий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для сетевого взаимодействия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-сервера с другими сетевыми ресурсами только разрешенных для взаимодействия сетевых протоколов с учетом функционирования системных сервисов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-сервера (например, служба времени, разрешения имен, обновления операционной системы, антивирусной защиты и пр.).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ежемесячно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Регистрация событий и ведение журналов сетевого доступа на межсетевых экранах, контролирующих весь сетевой трафик между сетью Интернет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-сервером (включая сетевой доступ эксплуатирующего персонала). Формирование уведомлений о подозрительной сетевой активности.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ежеквартально</w:t>
            </w:r>
            <w:proofErr w:type="gramEnd"/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144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только защищенных протоколов для удаленного доступа в систему (например, VPN, SSH, HTTPS). 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  <w:tr w:rsidR="0043150E">
        <w:trPr>
          <w:trHeight w:val="760"/>
        </w:trPr>
        <w:tc>
          <w:tcPr>
            <w:tcW w:w="468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3329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 xml:space="preserve">Ограничения перечня узлов, с которых разрешено осуществлять удаленное администрирование и обновление контента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-сервере.</w:t>
            </w:r>
          </w:p>
        </w:tc>
        <w:tc>
          <w:tcPr>
            <w:tcW w:w="2942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2826" w:type="dxa"/>
            <w:tcMar>
              <w:top w:w="100" w:type="dxa"/>
              <w:left w:w="115" w:type="dxa"/>
              <w:bottom w:w="100" w:type="dxa"/>
              <w:right w:w="115" w:type="dxa"/>
            </w:tcMar>
          </w:tcPr>
          <w:p w:rsidR="0043150E" w:rsidRDefault="00EA4FA8">
            <w:pPr>
              <w:tabs>
                <w:tab w:val="left" w:pos="1276"/>
                <w:tab w:val="left" w:pos="1469"/>
              </w:tabs>
              <w:contextualSpacing w:val="0"/>
            </w:pPr>
            <w:r>
              <w:rPr>
                <w:rFonts w:ascii="Times New Roman" w:eastAsia="Times New Roman" w:hAnsi="Times New Roman" w:cs="Times New Roman"/>
              </w:rPr>
              <w:t>в течение 1 рабочего дня с момента  выявления</w:t>
            </w:r>
          </w:p>
        </w:tc>
      </w:tr>
    </w:tbl>
    <w:p w:rsidR="0043150E" w:rsidRDefault="0043150E">
      <w:pPr>
        <w:contextualSpacing w:val="0"/>
      </w:pPr>
    </w:p>
    <w:p w:rsidR="0043150E" w:rsidRDefault="0043150E">
      <w:pPr>
        <w:contextualSpacing w:val="0"/>
      </w:pPr>
    </w:p>
    <w:sectPr w:rsidR="0043150E">
      <w:pgSz w:w="11900" w:h="16840"/>
      <w:pgMar w:top="1134" w:right="850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07ADD"/>
    <w:multiLevelType w:val="multilevel"/>
    <w:tmpl w:val="6F962CA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>
    <w:nsid w:val="0EE46B06"/>
    <w:multiLevelType w:val="multilevel"/>
    <w:tmpl w:val="17020C6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>
    <w:nsid w:val="11D83DA8"/>
    <w:multiLevelType w:val="multilevel"/>
    <w:tmpl w:val="4AEA70EC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92" w:firstLine="360"/>
      </w:pPr>
    </w:lvl>
    <w:lvl w:ilvl="2">
      <w:start w:val="1"/>
      <w:numFmt w:val="decimal"/>
      <w:lvlText w:val="%1.%2.%3."/>
      <w:lvlJc w:val="left"/>
      <w:pPr>
        <w:ind w:left="1224" w:firstLine="720"/>
      </w:pPr>
    </w:lvl>
    <w:lvl w:ilvl="3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4">
      <w:start w:val="1"/>
      <w:numFmt w:val="decimal"/>
      <w:lvlText w:val="%1.%2.%3.●.%5."/>
      <w:lvlJc w:val="left"/>
      <w:pPr>
        <w:ind w:left="2232" w:firstLine="1440"/>
      </w:pPr>
    </w:lvl>
    <w:lvl w:ilvl="5">
      <w:start w:val="1"/>
      <w:numFmt w:val="decimal"/>
      <w:lvlText w:val="%1.%2.%3.●.%5.%6."/>
      <w:lvlJc w:val="left"/>
      <w:pPr>
        <w:ind w:left="2736" w:firstLine="1800"/>
      </w:pPr>
    </w:lvl>
    <w:lvl w:ilvl="6">
      <w:start w:val="1"/>
      <w:numFmt w:val="decimal"/>
      <w:lvlText w:val="%1.%2.%3.●.%5.%6.%7."/>
      <w:lvlJc w:val="left"/>
      <w:pPr>
        <w:ind w:left="3240" w:firstLine="2160"/>
      </w:pPr>
    </w:lvl>
    <w:lvl w:ilvl="7">
      <w:start w:val="1"/>
      <w:numFmt w:val="decimal"/>
      <w:lvlText w:val="%1.%2.%3.●.%5.%6.%7.%8."/>
      <w:lvlJc w:val="left"/>
      <w:pPr>
        <w:ind w:left="3744" w:firstLine="2520"/>
      </w:pPr>
    </w:lvl>
    <w:lvl w:ilvl="8">
      <w:start w:val="1"/>
      <w:numFmt w:val="decimal"/>
      <w:lvlText w:val="%1.%2.%3.●.%5.%6.%7.%8.%9."/>
      <w:lvlJc w:val="left"/>
      <w:pPr>
        <w:ind w:left="4320" w:firstLine="2880"/>
      </w:pPr>
    </w:lvl>
  </w:abstractNum>
  <w:abstractNum w:abstractNumId="3">
    <w:nsid w:val="19F27C2F"/>
    <w:multiLevelType w:val="multilevel"/>
    <w:tmpl w:val="C6B47F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>
    <w:nsid w:val="32511763"/>
    <w:multiLevelType w:val="multilevel"/>
    <w:tmpl w:val="E0E65A0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5">
    <w:nsid w:val="50FD2DBF"/>
    <w:multiLevelType w:val="multilevel"/>
    <w:tmpl w:val="43F6A566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500" w:firstLine="1068"/>
      </w:pPr>
    </w:lvl>
    <w:lvl w:ilvl="2">
      <w:start w:val="1"/>
      <w:numFmt w:val="decimal"/>
      <w:lvlText w:val="●.%2.%3."/>
      <w:lvlJc w:val="left"/>
      <w:pPr>
        <w:ind w:left="1932" w:firstLine="1428"/>
      </w:pPr>
    </w:lvl>
    <w:lvl w:ilvl="3">
      <w:start w:val="1"/>
      <w:numFmt w:val="bullet"/>
      <w:lvlText w:val="●"/>
      <w:lvlJc w:val="left"/>
      <w:pPr>
        <w:ind w:left="2148" w:firstLine="1788"/>
      </w:pPr>
      <w:rPr>
        <w:rFonts w:ascii="Arial" w:eastAsia="Arial" w:hAnsi="Arial" w:cs="Arial"/>
      </w:rPr>
    </w:lvl>
    <w:lvl w:ilvl="4">
      <w:start w:val="1"/>
      <w:numFmt w:val="decimal"/>
      <w:lvlText w:val="●.%2.%3.●.%5."/>
      <w:lvlJc w:val="left"/>
      <w:pPr>
        <w:ind w:left="2940" w:firstLine="2148"/>
      </w:pPr>
    </w:lvl>
    <w:lvl w:ilvl="5">
      <w:start w:val="1"/>
      <w:numFmt w:val="decimal"/>
      <w:lvlText w:val="●.%2.%3.●.%5.%6."/>
      <w:lvlJc w:val="left"/>
      <w:pPr>
        <w:ind w:left="3444" w:firstLine="2508"/>
      </w:pPr>
    </w:lvl>
    <w:lvl w:ilvl="6">
      <w:start w:val="1"/>
      <w:numFmt w:val="decimal"/>
      <w:lvlText w:val="●.%2.%3.●.%5.%6.%7."/>
      <w:lvlJc w:val="left"/>
      <w:pPr>
        <w:ind w:left="3948" w:firstLine="2868"/>
      </w:pPr>
    </w:lvl>
    <w:lvl w:ilvl="7">
      <w:start w:val="1"/>
      <w:numFmt w:val="decimal"/>
      <w:lvlText w:val="●.%2.%3.●.%5.%6.%7.%8."/>
      <w:lvlJc w:val="left"/>
      <w:pPr>
        <w:ind w:left="4452" w:firstLine="3228"/>
      </w:pPr>
    </w:lvl>
    <w:lvl w:ilvl="8">
      <w:start w:val="1"/>
      <w:numFmt w:val="decimal"/>
      <w:lvlText w:val="●.%2.%3.●.%5.%6.%7.%8.%9."/>
      <w:lvlJc w:val="left"/>
      <w:pPr>
        <w:ind w:left="5028" w:firstLine="3588"/>
      </w:pPr>
    </w:lvl>
  </w:abstractNum>
  <w:abstractNum w:abstractNumId="6">
    <w:nsid w:val="525C52DC"/>
    <w:multiLevelType w:val="multilevel"/>
    <w:tmpl w:val="1872572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598C10CE"/>
    <w:multiLevelType w:val="multilevel"/>
    <w:tmpl w:val="A7A27764"/>
    <w:lvl w:ilvl="0">
      <w:start w:val="1"/>
      <w:numFmt w:val="decimal"/>
      <w:lvlText w:val="%1"/>
      <w:lvlJc w:val="left"/>
      <w:pPr>
        <w:ind w:left="1070" w:firstLine="71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1130" w:firstLine="710"/>
      </w:pPr>
      <w:rPr>
        <w:rFonts w:ascii="Arial" w:eastAsia="Arial" w:hAnsi="Arial" w:cs="Arial"/>
      </w:rPr>
    </w:lvl>
    <w:lvl w:ilvl="2">
      <w:start w:val="1"/>
      <w:numFmt w:val="decimal"/>
      <w:lvlText w:val="%1.%2.%3"/>
      <w:lvlJc w:val="left"/>
      <w:pPr>
        <w:ind w:left="1430" w:firstLine="710"/>
      </w:pPr>
      <w:rPr>
        <w:rFonts w:ascii="Arial" w:eastAsia="Arial" w:hAnsi="Arial" w:cs="Arial"/>
      </w:rPr>
    </w:lvl>
    <w:lvl w:ilvl="3">
      <w:start w:val="1"/>
      <w:numFmt w:val="decimal"/>
      <w:lvlText w:val="%1.%2.%3.%4"/>
      <w:lvlJc w:val="left"/>
      <w:pPr>
        <w:ind w:left="1430" w:firstLine="710"/>
      </w:pPr>
      <w:rPr>
        <w:rFonts w:ascii="Arial" w:eastAsia="Arial" w:hAnsi="Arial" w:cs="Arial"/>
      </w:rPr>
    </w:lvl>
    <w:lvl w:ilvl="4">
      <w:start w:val="1"/>
      <w:numFmt w:val="decimal"/>
      <w:lvlText w:val="%1.%2.%3.%4.%5"/>
      <w:lvlJc w:val="left"/>
      <w:pPr>
        <w:ind w:left="1790" w:firstLine="710"/>
      </w:pPr>
      <w:rPr>
        <w:rFonts w:ascii="Arial" w:eastAsia="Arial" w:hAnsi="Arial" w:cs="Arial"/>
      </w:rPr>
    </w:lvl>
    <w:lvl w:ilvl="5">
      <w:start w:val="1"/>
      <w:numFmt w:val="decimal"/>
      <w:lvlText w:val="%1.%2.%3.%4.%5.%6"/>
      <w:lvlJc w:val="left"/>
      <w:pPr>
        <w:ind w:left="1790" w:firstLine="710"/>
      </w:pPr>
      <w:rPr>
        <w:rFonts w:ascii="Arial" w:eastAsia="Arial" w:hAnsi="Arial" w:cs="Arial"/>
      </w:rPr>
    </w:lvl>
    <w:lvl w:ilvl="6">
      <w:start w:val="1"/>
      <w:numFmt w:val="decimal"/>
      <w:lvlText w:val="%1.%2.%3.%4.%5.%6.%7"/>
      <w:lvlJc w:val="left"/>
      <w:pPr>
        <w:ind w:left="2150" w:firstLine="710"/>
      </w:pPr>
      <w:rPr>
        <w:rFonts w:ascii="Arial" w:eastAsia="Arial" w:hAnsi="Arial" w:cs="Arial"/>
      </w:rPr>
    </w:lvl>
    <w:lvl w:ilvl="7">
      <w:start w:val="1"/>
      <w:numFmt w:val="decimal"/>
      <w:lvlText w:val="%1.%2.%3.%4.%5.%6.%7.%8"/>
      <w:lvlJc w:val="left"/>
      <w:pPr>
        <w:ind w:left="2150" w:firstLine="71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"/>
      <w:lvlJc w:val="left"/>
      <w:pPr>
        <w:ind w:left="2510" w:firstLine="710"/>
      </w:pPr>
      <w:rPr>
        <w:rFonts w:ascii="Arial" w:eastAsia="Arial" w:hAnsi="Arial" w:cs="Arial"/>
      </w:rPr>
    </w:lvl>
  </w:abstractNum>
  <w:abstractNum w:abstractNumId="8">
    <w:nsid w:val="68CD5EB8"/>
    <w:multiLevelType w:val="multilevel"/>
    <w:tmpl w:val="04FEE61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9">
    <w:nsid w:val="693C6C96"/>
    <w:multiLevelType w:val="multilevel"/>
    <w:tmpl w:val="FFE6D636"/>
    <w:lvl w:ilvl="0">
      <w:start w:val="1"/>
      <w:numFmt w:val="bullet"/>
      <w:lvlText w:val="●"/>
      <w:lvlJc w:val="left"/>
      <w:pPr>
        <w:ind w:left="1068" w:firstLine="708"/>
      </w:pPr>
      <w:rPr>
        <w:rFonts w:ascii="Arial" w:eastAsia="Arial" w:hAnsi="Arial" w:cs="Arial"/>
      </w:rPr>
    </w:lvl>
    <w:lvl w:ilvl="1">
      <w:start w:val="1"/>
      <w:numFmt w:val="decimal"/>
      <w:lvlText w:val="●.%2."/>
      <w:lvlJc w:val="left"/>
      <w:pPr>
        <w:ind w:left="1500" w:firstLine="1068"/>
      </w:pPr>
    </w:lvl>
    <w:lvl w:ilvl="2">
      <w:start w:val="1"/>
      <w:numFmt w:val="decimal"/>
      <w:lvlText w:val="●.%2.%3."/>
      <w:lvlJc w:val="left"/>
      <w:pPr>
        <w:ind w:left="1932" w:firstLine="1428"/>
      </w:pPr>
    </w:lvl>
    <w:lvl w:ilvl="3">
      <w:start w:val="1"/>
      <w:numFmt w:val="bullet"/>
      <w:lvlText w:val="●"/>
      <w:lvlJc w:val="left"/>
      <w:pPr>
        <w:ind w:left="2148" w:firstLine="1788"/>
      </w:pPr>
      <w:rPr>
        <w:rFonts w:ascii="Arial" w:eastAsia="Arial" w:hAnsi="Arial" w:cs="Arial"/>
      </w:rPr>
    </w:lvl>
    <w:lvl w:ilvl="4">
      <w:start w:val="1"/>
      <w:numFmt w:val="decimal"/>
      <w:lvlText w:val="●.%2.%3.●.%5."/>
      <w:lvlJc w:val="left"/>
      <w:pPr>
        <w:ind w:left="2940" w:firstLine="2148"/>
      </w:pPr>
    </w:lvl>
    <w:lvl w:ilvl="5">
      <w:start w:val="1"/>
      <w:numFmt w:val="decimal"/>
      <w:lvlText w:val="●.%2.%3.●.%5.%6."/>
      <w:lvlJc w:val="left"/>
      <w:pPr>
        <w:ind w:left="3444" w:firstLine="2508"/>
      </w:pPr>
    </w:lvl>
    <w:lvl w:ilvl="6">
      <w:start w:val="1"/>
      <w:numFmt w:val="decimal"/>
      <w:lvlText w:val="●.%2.%3.●.%5.%6.%7."/>
      <w:lvlJc w:val="left"/>
      <w:pPr>
        <w:ind w:left="3948" w:firstLine="2868"/>
      </w:pPr>
    </w:lvl>
    <w:lvl w:ilvl="7">
      <w:start w:val="1"/>
      <w:numFmt w:val="decimal"/>
      <w:lvlText w:val="●.%2.%3.●.%5.%6.%7.%8."/>
      <w:lvlJc w:val="left"/>
      <w:pPr>
        <w:ind w:left="4452" w:firstLine="3228"/>
      </w:pPr>
    </w:lvl>
    <w:lvl w:ilvl="8">
      <w:start w:val="1"/>
      <w:numFmt w:val="decimal"/>
      <w:lvlText w:val="●.%2.%3.●.%5.%6.%7.%8.%9."/>
      <w:lvlJc w:val="left"/>
      <w:pPr>
        <w:ind w:left="5028" w:firstLine="3588"/>
      </w:pPr>
    </w:lvl>
  </w:abstractNum>
  <w:abstractNum w:abstractNumId="10">
    <w:nsid w:val="73264373"/>
    <w:multiLevelType w:val="multilevel"/>
    <w:tmpl w:val="B3FEB4D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11">
    <w:nsid w:val="7FF93EE3"/>
    <w:multiLevelType w:val="multilevel"/>
    <w:tmpl w:val="9EC696D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11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50E"/>
    <w:rsid w:val="00007EEC"/>
    <w:rsid w:val="00156D61"/>
    <w:rsid w:val="002D0FDF"/>
    <w:rsid w:val="0043150E"/>
    <w:rsid w:val="005C7696"/>
    <w:rsid w:val="00B17884"/>
    <w:rsid w:val="00EA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609B2A-6676-44C7-A860-8DDF3E6F2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0" w:line="240" w:lineRule="auto"/>
      <w:contextualSpacing/>
    </w:pPr>
    <w:rPr>
      <w:rFonts w:ascii="Cambria" w:eastAsia="Cambria" w:hAnsi="Cambria" w:cs="Cambria"/>
      <w:color w:val="000000"/>
      <w:sz w:val="24"/>
    </w:rPr>
  </w:style>
  <w:style w:type="paragraph" w:styleId="1">
    <w:name w:val="heading 1"/>
    <w:basedOn w:val="a"/>
    <w:next w:val="a"/>
    <w:pPr>
      <w:spacing w:before="480"/>
      <w:outlineLvl w:val="0"/>
    </w:pPr>
    <w:rPr>
      <w:rFonts w:ascii="Calibri" w:eastAsia="Calibri" w:hAnsi="Calibri" w:cs="Calibri"/>
      <w:b/>
      <w:color w:val="345A8A"/>
      <w:sz w:val="32"/>
    </w:rPr>
  </w:style>
  <w:style w:type="paragraph" w:styleId="2">
    <w:name w:val="heading 2"/>
    <w:basedOn w:val="a"/>
    <w:next w:val="a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pPr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spacing w:before="480" w:after="120"/>
    </w:pPr>
    <w:rPr>
      <w:b/>
      <w:sz w:val="72"/>
    </w:rPr>
  </w:style>
  <w:style w:type="paragraph" w:styleId="a4">
    <w:name w:val="Subtitle"/>
    <w:basedOn w:val="a"/>
    <w:next w:val="a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rFonts w:ascii="Cambria" w:eastAsia="Cambria" w:hAnsi="Cambria" w:cs="Cambria"/>
      <w:color w:val="000000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A4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FA8"/>
    <w:rPr>
      <w:rFonts w:ascii="Tahoma" w:eastAsia="Cambri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energy.ru" TargetMode="External"/><Relationship Id="rId13" Type="http://schemas.openxmlformats.org/officeDocument/2006/relationships/hyperlink" Target="http://www.energomuseum.ru" TargetMode="External"/><Relationship Id="rId18" Type="http://schemas.openxmlformats.org/officeDocument/2006/relationships/hyperlink" Target="http://www.myenergy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nergomuseum.ru" TargetMode="External"/><Relationship Id="rId7" Type="http://schemas.openxmlformats.org/officeDocument/2006/relationships/hyperlink" Target="http://www.myenergy.ru" TargetMode="External"/><Relationship Id="rId12" Type="http://schemas.openxmlformats.org/officeDocument/2006/relationships/hyperlink" Target="http://game.myenergy.ru" TargetMode="External"/><Relationship Id="rId17" Type="http://schemas.openxmlformats.org/officeDocument/2006/relationships/hyperlink" Target="http://www.myenerg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gc1.ru" TargetMode="External"/><Relationship Id="rId20" Type="http://schemas.openxmlformats.org/officeDocument/2006/relationships/hyperlink" Target="http://game.myenergy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gc1.ru" TargetMode="External"/><Relationship Id="rId11" Type="http://schemas.openxmlformats.org/officeDocument/2006/relationships/hyperlink" Target="http://game.myenergy.ru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tgc1.ru" TargetMode="External"/><Relationship Id="rId15" Type="http://schemas.openxmlformats.org/officeDocument/2006/relationships/hyperlink" Target="http://www.tgc1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ids.myenergy.ru" TargetMode="External"/><Relationship Id="rId19" Type="http://schemas.openxmlformats.org/officeDocument/2006/relationships/hyperlink" Target="http://game.myenerg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ids.myenergy.ru" TargetMode="External"/><Relationship Id="rId14" Type="http://schemas.openxmlformats.org/officeDocument/2006/relationships/hyperlink" Target="http://www.energomuseum.ru" TargetMode="External"/><Relationship Id="rId22" Type="http://schemas.openxmlformats.org/officeDocument/2006/relationships/hyperlink" Target="http://www.energomuseu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задание-v1.1-ms.docx.docx</vt:lpstr>
    </vt:vector>
  </TitlesOfParts>
  <Company/>
  <LinksUpToDate>false</LinksUpToDate>
  <CharactersWithSpaces>17804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задание-v1.1-ms.docx.docx</dc:title>
  <dc:creator>Тарасова Марина Андреевна</dc:creator>
  <cp:lastModifiedBy>Тарасова Марина Андреевна</cp:lastModifiedBy>
  <cp:revision>2</cp:revision>
  <dcterms:created xsi:type="dcterms:W3CDTF">2013-11-18T11:48:00Z</dcterms:created>
  <dcterms:modified xsi:type="dcterms:W3CDTF">2013-11-18T11:48:00Z</dcterms:modified>
</cp:coreProperties>
</file>